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23 vom 9. September 2025</w:t>
      </w:r>
    </w:p>
    <w:p>
      <w:r>
        <w:t>VS Kantonsgericht, 2025-09-09, FR</w:t>
      </w:r>
    </w:p>
    <w:p>
      <w:r>
        <w:rPr>
          <w:b/>
        </w:rPr>
        <w:t xml:space="preserve">Quelle: </w:t>
      </w:r>
      <w:r>
        <w:t>https://mcp.opencaselaw.ch/entscheid/vs_gerichte_S2 24 23</w:t>
      </w:r>
    </w:p>
    <w:p>
      <w:r>
        <w:t>FR: VS_GERICHTE S2 24 23 du 9 septembre 2025</w:t>
      </w:r>
    </w:p>
    <w:p>
      <w:r>
        <w:t>IT: VS_GERICHTE S2 24 23 del 9 settembre 2025</w:t>
      </w:r>
    </w:p>
    <w:p>
      <w:pPr>
        <w:pStyle w:val="Heading2"/>
      </w:pPr>
      <w:r>
        <w:t>Regeste</w:t>
      </w:r>
    </w:p>
    <w:p>
      <w:r>
        <w:t>S2 24 23 ARRÊT DU 9 SEPTEMBRE 2025 Tribunal cantonal du Valais Cour des assurances sociales Composition : Candido Prada, président ; Christophe Joris et Frédéric Fellay, juges ; Mireille Allegro, greffière en la cause X _________, recourant, représenté par Maître Michel De Palma, avocat, à Sion contre CAISSE NATIONALE SUISSE D'ASSURANCE EN CAS D'ACCIDENTS (CNA), intimée (TCC, tinnitus, surdité et troubles psychiatriques ; lien de causalité adéquate et capacité de travail exigible)</w:t>
      </w:r>
    </w:p>
    <w:p>
      <w:pPr>
        <w:pStyle w:val="Heading2"/>
      </w:pPr>
      <w:r>
        <w:t>Erwägungen</w:t>
      </w:r>
    </w:p>
    <w:p>
      <w:r>
        <w:rPr>
          <w:b/>
        </w:rPr>
        <w:t>E. 1.1</w:t>
      </w:r>
    </w:p>
    <w:p>
      <w:r>
        <w:t>Selon l'article 1 alinéa 1 LAA, les dispositions de la LPGA s'appliquent à l'assurance- accidents, à moins que la LAA n'y déroge expressément.</w:t>
      </w:r>
    </w:p>
    <w:p>
      <w:r>
        <w:rPr>
          <w:b/>
        </w:rPr>
        <w:t>E. 1.2</w:t>
      </w:r>
    </w:p>
    <w:p>
      <w:r>
        <w:t>Posté le 18 mars 2024, le présent recours contre de la décision sur opposition du 15 février 2024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w:t>
      </w:r>
    </w:p>
    <w:p>
      <w:r>
        <w:t>Le litige porte sur le droit du recourant à des prestations LAA, à savoir une rente d’invalidité et une IPAI supérieure à celle de 25% déjà allouée, respectivement sur les atteintes en lien de causalité avec l’accident et la capacité de travail exigible de la part du recourant.</w:t>
      </w:r>
    </w:p>
    <w:p>
      <w:r>
        <w:rPr>
          <w:b/>
        </w:rPr>
        <w:t>E. 2.1</w:t>
      </w:r>
    </w:p>
    <w:p>
      <w:r>
        <w:t>Le recourant prétend que les troubles physiques et psychiques (perte auditive, acouphènes, vertiges, céphalées, symptomatologie anxieuse et dépressive avec troubles de la concentration et du sommeil) survenus à la suite de l’accident du</w:t>
      </w:r>
    </w:p>
    <w:p>
      <w:r>
        <w:rPr>
          <w:b/>
        </w:rPr>
        <w:t>E. 2.2</w:t>
      </w:r>
    </w:p>
    <w:p>
      <w:r>
        <w:t>L’intimée estime, quant à elle, qu’elle n’a pas à intervenir pour les troubles psychiques et non établis sur le plan organique (à savoir les troubles de la concentration</w:t>
      </w:r>
    </w:p>
    <w:p>
      <w:r>
        <w:t>- 11 - et de la mémoire, les troubles du sommeil, ainsi que les céphalées) et se rallie à l’appréciation de la Dresse E _________ concernant la capacité de travail encore exigible de la part du recourant dans une activité adaptée. Elle a, en revanche, reconnu sa responsabilité pour la perte auditive droite de 99.8%, pour laquelle elle a octroyé une IPAI de 15%, ainsi que pour les acouphènes à droite, qui ont été dûment objectivé par des examens audiométriques et mis en relation de causalité naturelle avec la commotion cochléaire survenue lors de l’accident du</w:t>
      </w:r>
    </w:p>
    <w:p>
      <w:r>
        <w:rPr>
          <w:b/>
        </w:rPr>
        <w:t>E. 3</w:t>
      </w:r>
    </w:p>
    <w:p>
      <w:r>
        <w:t>septembre 2020, pour laquelle elle a octroyé une IPAI de 10%.</w:t>
      </w:r>
    </w:p>
    <w:p>
      <w:r>
        <w:rPr>
          <w:b/>
        </w:rPr>
        <w:t>E. 3.1</w:t>
      </w:r>
    </w:p>
    <w:p>
      <w:r>
        <w:t>; 129 V 402 consid. 4.3.1 et les références).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w:t>
      </w:r>
    </w:p>
    <w:p>
      <w:r>
        <w:t>- 12 - et les références ; arrêt du Tribunal fédéral 8C_567/2017 du 12 mars 2018 consid. 3).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 ; 115 V 133 consid. 6 et 115 V 403 consid. 5).</w:t>
      </w:r>
    </w:p>
    <w:p>
      <w:r>
        <w:rPr>
          <w:b/>
        </w:rPr>
        <w:t>E. 3.2</w:t>
      </w:r>
    </w:p>
    <w:p>
      <w:r>
        <w:t>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 arrêts du Tribunal fédéral 8C_394/2024 du</w:t>
      </w:r>
    </w:p>
    <w:p>
      <w:r>
        <w:rPr>
          <w:b/>
        </w:rPr>
        <w:t>E. 3.3.1</w:t>
      </w:r>
    </w:p>
    <w:p>
      <w:r>
        <w:t>Lors de l’apparition d’un tinnitus (acouphènes) à la suite d’un traumatisme, son objectivation pose souvent des problèmes. Il apparaît néanmoins possible, par des méthodes d'investigations médicales, d'en vérifier la plausibilité, d'en apprécier le degré d'intensité et d'écarter l'implication d'autres facteurs que l'accident à son origine (voir les remarques introductives de la CNA figurant à la table 13). La CNA retient ainsi qu'une expertise médicale est indispensable pour procéder à l'évaluation de l'atteinte à l'intégrité d'un assuré se plaignant d'un tinnitus à la suite d'un accident. Cette expertise doit comprendre des consultations répétées et des examens audiométriques complets tels un audiogramme tonal et une détermination tinnitométrique de l'intensité subjective, en dB, des acouphènes ainsi que de leur fréquence. L'expert est appelé à poser son diagnostic sur la base des résultats obtenus et des données d'anamnèse, et à confirmer que les affirmations de l'assuré concernant le préjudice subi sont plausibles, que les acouphènes sont à attribuer avec une forte probabilité à l'événement assuré et qu'ils risquent vraisemblablement de persister toute la vie avec la même intensité. Les critères et méthodes d'évaluation que l'on vient d'exposer - élaborés par la Division médicale de la CNA et approuvés par la Commission d'audiologie et d'expertise de la Société suisse d'ORL et de chirurgie cervico-faciale - permettent d'établir, au degré de la preuve requis en matière d'assurances sociales, si les symptômes présentés par un assuré sous la forme d'un tinnitus constituent une atteinte à la santé importante et durable résultant d'un accident au sens de l'article 24 alinéa 1 LAA. La table 13 de la CNA distingue trois catégories de tinnitus en fonction de leur gravité : 1. le tinnitus léger ou minime : - acouphène intermittent ou continu, uni- ou bilatéral ; - subjective faible ; - n'influençant ni la vie quotidienne ni les activités professionnelles du patient. Il s'agit d'un tinnitus quasi-totalement compensé, sans incidence personnelle notable, et peu gênant. Atteinte à l'intégrité = 0%.</w:t>
      </w:r>
    </w:p>
    <w:p>
      <w:r>
        <w:t>2. le tinnitus important : - est le plus souvent continu, uni- ou bilatéral ;</w:t>
      </w:r>
    </w:p>
    <w:p>
      <w:r>
        <w:t>- 15 - - d'intensité subjective marquée, souvent masqué par les bruits ambiants de la vie quotidienne ; - gêne le repos du patient (empêchant souvent celui-ci de dormir) ; - perturbe à un degré moyen ou plus marqué par moments certaines occupations (lecture, écriture, écoute etc.) ainsi que les activités nécessitant concentration et ambiance de calme. Ce tinnitus n'est que partiellement compensé et représente une gêne personnelle de degré moyen. Atteinte à l'intégrité = 5%. 3. le tinnitus très important : - est continu, uni- ou bilatéral, avec gêne subjective très marquée, étant difficile voire très difficile à supporter ; - est rarement masqué par les bruits ambiants de la vie quotidienne ; - gêne régulièrement l'endormissement, voire est perçu durant le sommeil ; - perturbe de façon notable, de façon permanente ou discontinue, des activités telles la lecture, l'écriture, l'écoute etc. ; - prend subjectivement le pas sur une surdité coexistante ou sur d'autres handicaps. C'est un tinnitus « décompensé », d'importance subjective considérable, très pénible. Atteinte à l'intégrité = 10%.</w:t>
      </w:r>
    </w:p>
    <w:p>
      <w:r>
        <w:rPr>
          <w:b/>
        </w:rPr>
        <w:t>E. 3.3.2</w:t>
      </w:r>
    </w:p>
    <w:p>
      <w:r>
        <w:t>Lorsqu'un tinnitus imputable à un accident est à l'origine d'une décompensation psychique, le Tribunal fédéral a jugé que la jurisprudence relative au caractère adéquat du rapport de causalité entre des troubles psychiques et un accident (ATF 115 V 133) n'était pas applicable et qu'il fallait, dans ces cas, s'en tenir à la formule habituelle relative au cours ordinaire des choses et à l'expérience générale de la vie. En cas de tinnitus très important (ou très grave), voire à la limite du cas très grave, l'existence d'un rapport de causalité adéquat entre l'accident et la décompensation psychique doit en principe être admise (ATF non publié U 71/02 du 27 mars 2003; RAMA 2004 no U 505 p. 246). La gravité d'un tinnitus doit d'abord être évaluée selon les méthodes et critères d'évaluation indiqués à la table 13. Si le diagnostic d'un tinnitus « très important » (ou très grave) peut être posé, encore faut-il qu'il soit également établi par une expertise psychiatrique que la décompensation psychique constatée est la conséquence directe de ce tinnitus très important (ou très grave). Dans cette éventualité seulement, l'événement accidentel assuré est considéré comme la cause adéquate de cette décompensation psychique. Lorsque le tinnitus n'en constitue qu'une cause</w:t>
      </w:r>
    </w:p>
    <w:p>
      <w:r>
        <w:t>- 16 - secondaire, c'est la jurisprudence en matière de troubles psychiques consécutifs à un accident qui est applicable pour l'examen de la causalité adéquate. Si l'expert arrive à la conclusion que le tinnitus dont souffre l'assuré se présente sous la forme d'un tinnitus « léger » ou « important » selon la table 13 de la CNA, il y aura également lieu d'appliquer la jurisprudence tirée de l'ATF 115 V 133 pour déterminer l'étendue de la prise en charge par l'assureur-accidents des troubles psychiques qui en résultent. En effet, on doit admettre que le développement de troubles psychiques à la suite d'un tinnitus léger ou important ne correspond pas au cours ordinaire des choses et l'expérience de la vie, et que d'autres facteurs ont concouru à entraîner ou à favoriser le résultat tel qu'il s'est produit. Dans ces deux cas, le tinnitus apparaît comme une cause secondaire de l'affection psychique, ce qui justifie l'application des critères jurisprudentiels en matière de troubles psychiques consécutifs à un accident (ATF non publié 8C_451/2009 du 18 août 2010 consid. 5.5 ; arrêts genevois A/3434/2010 du 8 février 2011 et A/3135/2017 du 27 juin 2019 consid. 7e).</w:t>
      </w:r>
    </w:p>
    <w:p>
      <w:r>
        <w:rPr>
          <w:b/>
        </w:rPr>
        <w:t>E. 3.4</w:t>
      </w:r>
    </w:p>
    <w:p>
      <w:r>
        <w:t>Aux termes de l'article 24 alinéa 1 LAA, si, par suite de l'accident, l'assuré souffre d'une atteinte durable et importante à son intégrité physique, mentale ou psychique, il a droit à une indemnité équitable pour atteinte à l'intégrité. Celle-ci est échelonnée selon la gravité de l'atteinte à l'intégrité (cf. art. 25 al. 1 LAA). L'annexe 3 à l'OLAA comporte un barème des lésions fréquentes et caractéristiques, évaluées en pour cent. Ce barème - reconnu conforme à la loi - ne constitue pas une énumération exhaustive (ATF 124 V 29 consid. 1b). Pour les atteintes qui sont spéciales ou qui ne figurent pas dans la liste, il y a lieu d'appliquer le barème par analogie, en tenant compte de la gravité de l'atteinte (ch. 1 al. 2 de l'annexe). La division médicale de la CNA a établi plusieurs tables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(ATF 124 V 209 consid. 4a/cc). Pour fixer ce taux d’IPAI, la médecin d’arrondissement tient compte des atteintes à la santé en lien avec l’évènement accidentel.</w:t>
      </w:r>
    </w:p>
    <w:p>
      <w:r>
        <w:rPr>
          <w:b/>
        </w:rPr>
        <w:t>E. 3.5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w:t>
      </w:r>
    </w:p>
    <w:p>
      <w:r>
        <w:t>- 17 -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- 18 -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w:t>
      </w:r>
    </w:p>
    <w:p>
      <w:r>
        <w:t>- 19 -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122 II 464 consid. 4a ; 122 III 219 consid. 3c). 4. 4.1 En l’espèce, à la suite de l’accident du 3 septembre 2020, les diagnostics de TCC léger, d’acouphènes à droite et de surdité neurosensorielle droite sévère dus à une commotion cochléaire ont été posés (cf. rapport des urgences du 19 septembre 2020, pièce 24 ; rapport du 27 octobre 2020, pièce 19 ; rapport du 2 décembre 2021, pièce 191). Ces atteintes ne sont aucunement contestées et l’intimée a reconnu, à juste titre, sa responsabilité en lien avec celles-ci. S’agissant de la perte auditive droite évaluée à 99.8% (cf. rapport de la Dresse F _________ du 13 février 2023, pièce 295), la Dresse E _________ a fixé le taux de l’atteinte à l’intégrité à 15% en conformité avec la table 12 concernant la perturbation de l'ouïe (cf. appréciation du 19 janvier 2021, pièce 63, confirmée le 3 mars 2023, pièce 304). Le recourant ne remet pas en cause cette évaluation. Concernant l’acouphène à droite ou tinnitus, dans son appréciation du 3 mars 2023 (pièce 303), la Dresse E _________ l’a qualifié de très sévère au vu des éléments au dossier et des examens ORL réalisés par la Dresse F _________, qui l’avait situé à 250 Hz et 110 dB. Sur la base de la table 13, elle a fixé l’atteinte à l’intégrité à 10% correspondant à un tinnitus très important. Cette appréciation ne prête pas flanc à la critique au vu des descriptions faites par l’ensemble du corps médical concernant l’importance de l’impact de l’acouphène sur le quotidien du recourant. 4.2 Au cours des semaines et mois suivant l’accident, l’assuré a développé des céphalées, des vertiges, des troubles de la concentration et du sommeil, ainsi que de</w:t>
      </w:r>
    </w:p>
    <w:p>
      <w:r>
        <w:t>- 20 - l’irritabilité. Ces éléments l’ont conduit à consulter le Centre de traitement de la douleur en février 2021, puis le H _________ dès juin 2021. Dans ses rapports, notamment le dernier du 11 avril 2024, le H _________ a posé le diagnostic de trouble de l’adaptation avec réaction dépressive prolongée et a expliqué que l’assuré avait développé une symptomatologie anxieuse et dépressive associée à des acouphènes et des céphalées à la suite du TCC survenu en septembre 2020. Selon le H _________, les céphalées, les troubles cognitifs et du sommeil, ainsi que l’irritabilité sont en lien avec la constante présence d’acouphènes (pièce 279). Il en va de même du Dr G _________ (pièces 91, 191 et 277), qui, dans son rapport du 2 décembre 2021, a clairement indiqué que les acouphènes à droite - dont l’origine était le traumatisme cochléaire du 3 septembre 2020 - déterminaient les troubles de la concentration, les vertiges, l’insomnie et les céphalées récurrentes. Il ressort de l’ensemble des rapports médicaux que le tinnitus est central dans la problématique du recourant et que si un traitement permettait de le soulager, alors la symptomatologie psychique en serait clairement améliorée. Il sied dès lors d’admettre que le tinnitus est à l’origine des troubles psychiques du recourant, de sorte que la causalité adéquate avec l’accident doit être admise. 4.3 Il s’ensuit que l’intimée, respectivement son médecin d’arrondissement, auraient dû tenir compte l’intégralité des problèmes de santé de l’assuré pour apprécier la capacité de travail résiduelle encore exigible de sa part. L’appréciation de la Dresse E _________ à cet égard (cf. avis du 3 mars 2023, pièce 304, et avis du 1er février 2024, pièce 402) est d’ailleurs peu convaincante, contrairement à ce que prétend l’intimée. En effet, celle- ci admet des limitations fonctionnelles en lien avec les vertiges, alors même qu’elle estime que les acouphènes - qui en est à l’origine - n’entraînent aucune incapacité de travail. Ceci est contradictoire. En outre, affirmer que le tinnitus n’a pas d’impact sur la capacité de travail sans motiver cette position, de surcroît après avoir qualifié celui de « très grave », n’est de loin pas satisfaisant. 5. Au vu de ce qui précède, le recours est admis et le dossier renvoyé à l’intimée pour appréciation de la capacité de travail en tenant compte de la surdité, du tinnitus « très important » et de la décompensation psychique liée à ce dernier, comportant céphalées, vertiges, troubles de la concentration, troubles du sommeil et irritabilité. Au vu de l’issue du litige, l’administration des moyens de preuves offerts dans le mémoire de recours se révèle inutile.</w:t>
      </w:r>
    </w:p>
    <w:p>
      <w:r>
        <w:t>- 21 - 6. 6.1 En application de l’article 61 lettre fbis LPGA et compte tenu du fait que la LAA n’en prévoit pas, il n’est pas perçu de frais judiciaires dans le présent litige portant sur des prestations de l’assurance-accidents. 6.2 Sous l’empire de l’article 61 lettre g LPGA, la partie recourante est réputée avoir obtenu gain de cause lorsque, dans la procédure judiciaire cantonale portant sur des prestations d’assurance sociale, la décision administrative de refus est annulée et la cause renvoyée à l’administration pour instruction complémentaire puis nouvelle décision (ATF 137 V 57 consid. 2.1 et 132 V 215 consid. 6). A la lumière de cette jurisprudence, le recourant obtient ainsi gain de cause en l’espèce. Il a droit à des dépens qui, vu l’issue de la cause, seront supportés par l’intimée (art. 61 let. g LPGA, art. 81a al. 2 et 91 al. 1 et 2 a contrario LPJA, art. 27 al. 1 et 40 al. 1 LTar). Dans le présent dossier de complexité moyenne, le mandataire du recourant a produit un mémoire de recours, deux courriers et une réplique. Compte tenu de la fourchette de 550 fr. à 11’000 fr. prévue par l’article 40 alinéa 1 LTar, de l’activité utile déployée, de la teneur des pièces de procédure déposées et de l’ampleur du dossier, la Cour fixe les dépens à un montant forfaitaire de 2000 fr., débours et TVA inclus (art. 27 al. 5 LTar).</w:t>
      </w:r>
    </w:p>
    <w:p>
      <w:r>
        <w:rPr>
          <w:b/>
        </w:rPr>
        <w:t>E. 7</w:t>
      </w:r>
    </w:p>
    <w:p>
      <w:r>
        <w:t>janvier 2025 consid. 7.2.1 ;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(arrêt du Tribunal fédéral 8C_792/2009 du 1er février 2010 consid. 6.1 et réf. cit.). Il faut également que l’existence d’un tel traumatisme et de ses suites soit dûment attestée par des renseignements médicaux fiables (ATF 134 V 109 consid. 9 ; 119 V 335 consid. 1 et 117 V 359 consid. 4b). Pour l’examen de la causalité adéquate en présence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w:t>
      </w:r>
    </w:p>
    <w:p>
      <w:r>
        <w:t>- 13 -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réf. cit. ; 115 V 133 consid. 6c/aa et 115 V 403 consid. 5c/aa ; arrêt du Tribunal fédéral 8C_559/2023 du 19 janvier 2024 consid. 3.2). Dans le cadre du premier cas de figure, la méthode spécifique instaurée par la jurisprudence pour examiner le lien de causalité adéquate impose d’opérer une classification des accidents en fonction de leur degré de gravité et d'appliquer les critères objectifs – dont le Tribunal fédéral a reconnu le caractère exhaustif – formulés de la manière suivante (ATF 134 V 109 consid. 10.3 ; arrêt du Tribunal fédéral 8C_220/2016 du 10 février 2017 consid. 6.1)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Tous ces critères ne doivent pas être réunis pour que la causalité adéquate soit admise (ATF 129 V 402 consid. 4.4.1 ; 115 V 133 consid. 6c/bb). De manière générale, lorsque l'on se trouve en présence d'un accident de gravité moyenne, il faut un cumul de trois critères sur les sept, ou au moins que l'un des critères retenus se soit manifesté de</w:t>
      </w:r>
    </w:p>
    <w:p>
      <w:r>
        <w:t>- 14 - manière particulièrement marquante (arrêt du Tribunal fédéral 8C_600/2020 du 3 mai 2021 consid. 3.3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